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>УТВЕРЖДЕНА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постановлением администрации            </w:t>
      </w:r>
      <w:r>
        <w:rPr>
          <w:color w:val="000000"/>
          <w:sz w:val="26"/>
          <w:szCs w:val="26"/>
        </w:rPr>
        <w:t>Лазовского муниципального</w:t>
      </w:r>
      <w:r>
        <w:rPr>
          <w:sz w:val="26"/>
          <w:szCs w:val="26"/>
        </w:rPr>
        <w:t xml:space="preserve"> округа </w:t>
      </w:r>
    </w:p>
    <w:p>
      <w:pPr>
        <w:pStyle w:val="Normal"/>
        <w:ind w:left="5103" w:hanging="0"/>
        <w:jc w:val="center"/>
        <w:rPr/>
      </w:pP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 xml:space="preserve">11.11.2024 г. </w:t>
      </w:r>
      <w:r>
        <w:rPr>
          <w:sz w:val="26"/>
          <w:szCs w:val="26"/>
        </w:rPr>
        <w:t>№ 813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внесены изменения от 27.02.2025г. № 227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внесены изменения от 22.08.2025г. № 864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МУНИЦИПАЛЬНАЯ ПРОГРАММА</w:t>
      </w:r>
    </w:p>
    <w:p>
      <w:pPr>
        <w:pStyle w:val="Normal"/>
        <w:widowControl w:val="false"/>
        <w:jc w:val="center"/>
        <w:rPr/>
      </w:pPr>
      <w:r>
        <w:rPr>
          <w:b/>
          <w:sz w:val="26"/>
          <w:szCs w:val="26"/>
        </w:rPr>
        <w:t>«</w:t>
      </w:r>
      <w:r>
        <w:rPr>
          <w:b/>
          <w:color w:val="000000"/>
          <w:sz w:val="26"/>
          <w:szCs w:val="26"/>
        </w:rPr>
        <w:t>Благоустройство</w:t>
      </w:r>
      <w:r>
        <w:rPr>
          <w:b/>
          <w:sz w:val="26"/>
          <w:szCs w:val="26"/>
        </w:rPr>
        <w:t xml:space="preserve"> Лазовского муниципального округа» на 2025-2029 гг.</w:t>
      </w:r>
    </w:p>
    <w:p>
      <w:pPr>
        <w:pStyle w:val="Normal"/>
        <w:widowControl w:val="false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76"/>
        <w:jc w:val="center"/>
        <w:rPr/>
      </w:pPr>
      <w:r>
        <w:rPr>
          <w:b/>
          <w:sz w:val="24"/>
          <w:szCs w:val="24"/>
        </w:rPr>
        <w:t xml:space="preserve">Стратегические приоритеты </w:t>
      </w:r>
    </w:p>
    <w:p>
      <w:pPr>
        <w:pStyle w:val="Normal"/>
        <w:widowControl w:val="false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1. Оценка текущего состояния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Природно-климатические условия населенных пунктов Лазовского муниципального округа,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в населенных пунктах.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население Лазовского муниципального округа  составляет 12150 чел.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последние годы проводилась целенаправленная работа по благоустройству территории и социальному развитию населенных пунктов сельских территорий.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то же время в вопросах благоустройства населенных пунктов округа имеется ряд проблем.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Благоустройство многих населенных пунктов не отвечает современным требованиям.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Большие нарекания вызывает благоустройство и санитарное содержание дворовых территорий. По-прежнему серьезную озабоченность вызывает, озеленение, освещение улиц поселений, ремонт и содержанию искусственных сооружений.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данной проблемы требуется привлечение дополнительных финансовых средств, предприятий и организаций, наличие внебюджетных источников финансирования.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Работы по благоустройству населенных пунктов округа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Особое внимание уделяется организации и содержанию мест захоронения. В населенных пунктах Лазовского муниципального округа расположено 11 кладбищ.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 настоящее время уделяется всё больше внимание состоянию водозаборных сооружений, расположенных  в населенных пунктах  Лазовского муниципального округа. Необходимо проводить текущий ремонт и очистку водозаборного имущества округа. Для дальнейшего успешного социально – экономического развития муниципального округа необходимо обеспечить население округа качественной питьевой водой. Тем самым повысить уровень жизни населения, создать наиболее благоприятные условия для развития сельских территорий.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 организаций различных форм собственности.</w:t>
      </w:r>
    </w:p>
    <w:p>
      <w:pPr>
        <w:pStyle w:val="ConsPlusNormal"/>
        <w:keepNext w:val="true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Для решения проблем по благоустройству населенных пунктов Лазовского муниципального округа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b/>
          <w:sz w:val="24"/>
          <w:szCs w:val="24"/>
        </w:rPr>
        <w:t>2. Описание приоритетов и целей в сфере реализации программы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Целью программы  является: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1.Совершенствование системы комплексного благоустройства Лазовского муниципального округа; 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2.Повышение уровня внешнего благоустройства и санитарного содержания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3.Совершенствование эстетического вида населенных пунктов Лазовского муниципального округа, создание гармоничной архитектурно-ландшафтной среды;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4.Строительство и реконструкция, а также содержание систем наружного освещения улиц населенных пунктов;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5. Обеспечение гарантий погребения умерших на кладбищах населенных пунктов Лазовского муниципального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6.Обеспечения населения жителей Лазовского муниципального округа качественной питьевой водой, соответствующий по своему составу и свойствам требованиям санитарно- эпидемиологическим правилам и нормативам (СанПиН 2.1.4.1175-02), из источников не централизованного водоснабжения (водозаборных сооружений).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3. Задачи муниципального управления, способы их эффективного решения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1). Организация благоустройства сельских территорий;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2). Организация ритуально-похоронных услуг и погребение усопших, содержание мест захоронения;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3). Организация обеспечения населения Лазовского муниципального округа питьевой водой из не централизованных источников водоснабжения;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4). Организация мероприятий по восстановлению, реконструкции, а также текущему содержанию сетей уличного освещения;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5). Организация мероприятий по озеленению населенных пунктов округа;</w:t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6). Организация мероприятий по ремонту и содержанию искусственных сооружений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/>
      </w:pPr>
      <w:r>
        <w:rPr>
          <w:b/>
          <w:sz w:val="24"/>
          <w:szCs w:val="24"/>
        </w:rPr>
        <w:t>4. Задачи обеспечения достижения показателей социально-экономического развития  Лазовского муниципального округа</w:t>
      </w:r>
    </w:p>
    <w:p>
      <w:pPr>
        <w:pStyle w:val="ConsPlus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spacing w:lineRule="auto" w:line="276"/>
        <w:jc w:val="both"/>
        <w:rPr/>
      </w:pPr>
      <w:r>
        <w:rPr>
          <w:rFonts w:ascii="Times New Roman" w:hAnsi="Times New Roman"/>
          <w:sz w:val="24"/>
          <w:szCs w:val="24"/>
        </w:rPr>
        <w:t>Выполнение мероприятий муниципальной Подпрограммы обеспечит комплексный подход к решению вопросов, направленных на приведение в нормативное состояние муниципального жилого фонда в границах населенных пунктов Лазовского муниципального округа. Программно-целевой метод позволит более эффективно использовать финансовые ресурсы, сконцентрировав их на решении приоритетных задач, обеспечит комплексное решение проблем в долгосрочной перспективе, а также взаимосвязь между проводимыми мероприятиями и результатами их выполнения.</w:t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0" w:name="P381"/>
      <w:bookmarkEnd w:id="0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5327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комфортной и функциональной среды для жителей округа, способствующей их благополучию и социально-экономическому развитию.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Сроки реализации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Куратор(ы)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Первый заместитель главы Лазовского муниципального округа Суханов К.В.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Соисполнители муниципальной программы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округа;</w:t>
            </w:r>
            <w:r>
              <w:rPr>
                <w:rFonts w:cs="Times New Roman" w:ascii="Times New Roman" w:hAnsi="Times New Roman"/>
                <w:color w:val="000000"/>
              </w:rPr>
              <w:t xml:space="preserve"> «Центр культуры, спорта, туризма и молодежной политики»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Направления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 xml:space="preserve">Итого </w:t>
            </w:r>
            <w:r>
              <w:rPr>
                <w:rFonts w:cs="Times New Roman" w:ascii="Times New Roman" w:hAnsi="Times New Roman"/>
                <w:color w:val="000000"/>
              </w:rPr>
              <w:t>15 180,61604</w:t>
            </w:r>
            <w:r>
              <w:rPr>
                <w:rFonts w:cs="Times New Roman" w:ascii="Times New Roman" w:hAnsi="Times New Roman"/>
              </w:rPr>
              <w:t xml:space="preserve"> тыс. руб. в том числе:</w:t>
            </w:r>
          </w:p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МБ –</w:t>
            </w:r>
            <w:r>
              <w:rPr>
                <w:rFonts w:cs="Times New Roman" w:ascii="Times New Roman" w:hAnsi="Times New Roman"/>
                <w:color w:val="000000"/>
              </w:rPr>
              <w:t xml:space="preserve">12 180,61604 </w:t>
            </w:r>
            <w:r>
              <w:rPr>
                <w:rFonts w:cs="Times New Roman" w:ascii="Times New Roman" w:hAnsi="Times New Roman"/>
              </w:rPr>
              <w:t>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КБ – 3 000,00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2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2. Структура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 xml:space="preserve">Благоустройство </w:t>
      </w:r>
      <w:r>
        <w:rPr>
          <w:rFonts w:cs="Times New Roman" w:ascii="Times New Roman" w:hAnsi="Times New Roman"/>
          <w:sz w:val="22"/>
          <w:szCs w:val="22"/>
          <w:u w:val="single"/>
        </w:rPr>
        <w:t>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83"/>
        <w:gridCol w:w="2494"/>
        <w:gridCol w:w="1699"/>
        <w:gridCol w:w="192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Процессная часть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привлекательной и комфортной среды округа, способствующей улучшению общего благосостояния жителей.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Создание безопасной, комфортной и энергоэффективной системы уличного освещения, способствующей улучшению качества жизни жителей Лазовского муниципального округа.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56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Улучшение эстетического вида зеленых насаждений, создание комфортной среды для отдыха и прогулок.</w:t>
            </w:r>
          </w:p>
        </w:tc>
        <w:tc>
          <w:tcPr>
            <w:tcW w:w="1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 Начальники территориальных отделов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gutter="0" w:header="0" w:top="567" w:footer="0" w:bottom="709"/>
          <w:pgNumType w:fmt="decimal"/>
          <w:formProt w:val="false"/>
          <w:textDirection w:val="lrTb"/>
          <w:docGrid w:type="default" w:linePitch="36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3. Показатели и их значения в разрезе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структурных элементов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40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3"/>
        <w:gridCol w:w="1891"/>
        <w:gridCol w:w="40"/>
        <w:gridCol w:w="1925"/>
        <w:gridCol w:w="1134"/>
        <w:gridCol w:w="1137"/>
        <w:gridCol w:w="1417"/>
        <w:gridCol w:w="1560"/>
        <w:gridCol w:w="1433"/>
        <w:gridCol w:w="1573"/>
        <w:gridCol w:w="1381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структурного элемента, мероприятия</w:t>
            </w:r>
          </w:p>
        </w:tc>
        <w:tc>
          <w:tcPr>
            <w:tcW w:w="1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измерения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7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показателей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3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93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«Содержание территорий муниципального округа»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3 «Содержание и ремонт объектов и элементов благоустройства»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 и содержания подвесных мостов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детских и спортивных площадок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3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содержанию мест захоронения (кладбища)»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6 «Устройство, содержание и ремонт сетей ливневой канализации»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7 «Расходы на оформление и подготовку территории к праздничным мероприятиям»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8 «Разработка проектно-сметной документации, получение экспертных заключений»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9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«Восстановление, реконструкция, текущее содержание сетей уличного освещения Лазовского муниципального округа»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8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 «Содержание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8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 (результат) 2 «Электроснабжение муниципальных сетей уличного освещения»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Населенные пункты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349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«Озеленение муниципального округа»</w:t>
            </w:r>
          </w:p>
        </w:tc>
      </w:tr>
      <w:tr>
        <w:trPr/>
        <w:tc>
          <w:tcPr>
            <w:tcW w:w="6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89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«Уход за зелеными насаждениями муниципального округа»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120 000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91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8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2 «Приобретение и посадка саженцев»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4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4. Финансовое обеспечение муниципальной программы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23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9"/>
        <w:gridCol w:w="1781"/>
        <w:gridCol w:w="1706"/>
        <w:gridCol w:w="1850"/>
        <w:gridCol w:w="1360"/>
        <w:gridCol w:w="1274"/>
        <w:gridCol w:w="1277"/>
        <w:gridCol w:w="10"/>
        <w:gridCol w:w="1274"/>
        <w:gridCol w:w="1316"/>
        <w:gridCol w:w="1788"/>
      </w:tblGrid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 финансирования</w:t>
            </w:r>
          </w:p>
        </w:tc>
        <w:tc>
          <w:tcPr>
            <w:tcW w:w="82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Муниципальная программа «</w:t>
            </w:r>
            <w:r>
              <w:rPr>
                <w:rFonts w:cs="Times New Roman" w:ascii="Times New Roman" w:hAnsi="Times New Roman"/>
                <w:color w:val="000000"/>
              </w:rPr>
              <w:t>Благоустройство</w:t>
            </w:r>
            <w:r>
              <w:rPr>
                <w:rFonts w:cs="Times New Roman" w:ascii="Times New Roman" w:hAnsi="Times New Roman"/>
              </w:rPr>
              <w:t xml:space="preserve"> Лазовского муниципального округа» на 2025-2029 гг.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всего, в том числе: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8216,37668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1881,20484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15 180,61604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3 000,00000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5216,37668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1881,20484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12 180,61604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8216,37668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1881,20484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15 180,61604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3 000,00000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5216,37668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1881,20484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1694,34484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12 180,61604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136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1.1  «Благоустройство общественных территорий Лазовского муниципального округа»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6177,19368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1145,90484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959,04484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959,04484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959,04484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10 200,23304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3 000,00000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3 000,00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3177,19368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1145,90484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959,04484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959,04484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959,04484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7 200,23304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1.1.1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174,72900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174,72900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174,72900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174,72900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1.1.2 «Содержание территорий муниципального округа»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836,66607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1668,23435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836,66607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498,03707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111,17707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1668,23435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1.1.3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1.1.3 «Содержание и ремонт объектов и элементов благоустройства»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МКУ (Центр культуры, спорта, туризма и молодежной политики)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1132,16398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2759,9159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hd w:fill="auto" w:val="clear"/>
              </w:rPr>
              <w:t>1132,16398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406,93798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2759,9159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1.1.4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1.1.4 «</w:t>
            </w:r>
            <w:r>
              <w:rPr>
                <w:rFonts w:cs="Times New Roman" w:ascii="Times New Roman" w:hAnsi="Times New Roman"/>
                <w:color w:val="000000"/>
              </w:rPr>
              <w:t>Б</w:t>
            </w:r>
            <w:r>
              <w:rPr>
                <w:rFonts w:cs="Times New Roman" w:ascii="Times New Roman" w:hAnsi="Times New Roman"/>
              </w:rPr>
              <w:t>лагоустройство и содержание мест захоронения (кладбища)»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1003,33160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240,92979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2567,05076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1003,33160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240,92979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440,92979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2567,05076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1.1.5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1.1.5 «Мероприятия по инвентаризации кладбищ, стен скорби, крематориев, а также мест захоронений на кладбищах и в стенах скорби расположенных на территории Лазовского МО»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1.1.6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1.1.6 «Устройство, содержание и ремонт сетей ливневой канализации»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1.1.7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1.1.7 «Расходы на оформление и подготовку территории к праздничным мероприятиям»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1.1.8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1.1.8 «Разработка проектно-сметной документации, получение экспертных заключений»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1.1.9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Мероприятию на реализацию проектов инициативного бюджетирования по направлению «Твой проект» - «Парк Вдохновения».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3 030, 30303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3 030, 30303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3 000, 00000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3 000, 00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30, 30303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30, 30303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1.2 «Восстановление, реконструкция, текущее содержание сетей уличного освещения Лазовского муниципального округа»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>
          <w:trHeight w:val="804" w:hRule="atLeast"/>
        </w:trPr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1.2.1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1.2.1 «Содержание муниципальных сетей уличного освещения»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1.2.2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1.2.2 «Электроснабжение муниципальных сетей уличного освещения»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735,300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3676,500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Структурный элемент 1.3 «Озеленение муниципального округа»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1.3.1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1.3.1 «Уход за зелеными насаждениями муниципального округа»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1303,88300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1303,88300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1.3.2</w:t>
            </w:r>
          </w:p>
        </w:tc>
        <w:tc>
          <w:tcPr>
            <w:tcW w:w="1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Мероприятие (результат) 1.3.2 «Приобретение и посадка саженцев»</w:t>
            </w:r>
          </w:p>
        </w:tc>
        <w:tc>
          <w:tcPr>
            <w:tcW w:w="17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/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gutter="0" w:header="0" w:top="851" w:footer="0" w:bottom="1134"/>
          <w:pgNumType w:fmt="decimal"/>
          <w:formProt w:val="false"/>
          <w:textDirection w:val="lrTb"/>
          <w:docGrid w:type="default" w:linePitch="100" w:charSpace="24576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5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1" w:name="P1157"/>
      <w:bookmarkEnd w:id="1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«Благоустройство общественных территорий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41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6"/>
        <w:gridCol w:w="1566"/>
        <w:gridCol w:w="1128"/>
        <w:gridCol w:w="1142"/>
        <w:gridCol w:w="1146"/>
        <w:gridCol w:w="1136"/>
        <w:gridCol w:w="1137"/>
        <w:gridCol w:w="1107"/>
      </w:tblGrid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Повышение качества жизни жителей и создание привлекательной среды округа.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83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округа, МКУ (Центр культуры, спорта, туризма и молодежной политики)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3000,00000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3000,00000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</w:rPr>
              <w:t>7200,23304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fill="auto" w:val="clear"/>
              </w:rPr>
              <w:t>3177,19368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1145,90484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fill="auto" w:val="clear"/>
              </w:rPr>
              <w:t>10200,23304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fill="auto" w:val="clear"/>
              </w:rPr>
              <w:t>6177,19368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1145,90484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959,04484</w:t>
            </w:r>
          </w:p>
        </w:tc>
      </w:tr>
      <w:tr>
        <w:trPr/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Базовое значение показателя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содержанию и ремонту спортивных площадок «Центр культуры, спорта, туризма и молодежной политики»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Приобретение хозяйственных товаров  «Центр культуры, спорта, туризма и молодежной политики»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</w:tr>
      <w:tr>
        <w:trPr/>
        <w:tc>
          <w:tcPr>
            <w:tcW w:w="204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Услуги по заливке катков  «Центр культуры, спорта, туризма и молодежной политики»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ливневых канализаций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разработанных проектно-сметных документаций и экспертных заключений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sectPr>
          <w:type w:val="nextPage"/>
          <w:pgSz w:w="11906" w:h="16838"/>
          <w:pgMar w:left="851" w:right="851" w:gutter="0" w:header="0" w:top="851" w:footer="0" w:bottom="1134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6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2" w:name="P11571"/>
      <w:bookmarkEnd w:id="2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«Восстановление, реконструкция, текущее содержание сетей уличного освещения Лазовского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558"/>
        <w:gridCol w:w="1136"/>
        <w:gridCol w:w="848"/>
        <w:gridCol w:w="853"/>
        <w:gridCol w:w="849"/>
        <w:gridCol w:w="840"/>
        <w:gridCol w:w="794"/>
      </w:tblGrid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Обеспечение надежного и эффективного освещения улиц и общественных пространств.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68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3676,500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3676,500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</w:tr>
      <w:tr>
        <w:trPr/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Базовое значение показателя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2025 г.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2026 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2027 г.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2028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2029 г.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50</w:t>
            </w:r>
          </w:p>
        </w:tc>
      </w:tr>
      <w:tr>
        <w:trPr/>
        <w:tc>
          <w:tcPr>
            <w:tcW w:w="21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Оплата за услуги освещения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Руб.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right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auto" w:val="clear"/>
              </w:rPr>
              <w:t>735,300</w:t>
            </w:r>
          </w:p>
        </w:tc>
      </w:tr>
    </w:tbl>
    <w:p>
      <w:pPr>
        <w:sectPr>
          <w:type w:val="nextPage"/>
          <w:pgSz w:w="11906" w:h="16838"/>
          <w:pgMar w:left="1701" w:right="851" w:gutter="0" w:header="0" w:top="851" w:footer="0" w:bottom="1134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7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bookmarkStart w:id="3" w:name="P115711"/>
      <w:bookmarkEnd w:id="3"/>
      <w:r>
        <w:rPr>
          <w:rFonts w:cs="Times New Roman" w:ascii="Times New Roman" w:hAnsi="Times New Roman"/>
          <w:sz w:val="22"/>
          <w:szCs w:val="22"/>
        </w:rPr>
        <w:t>Паспорт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структурного элемента (комплекса процессных мероприятий)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«Озеленение муниципального округа»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0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4"/>
        <w:gridCol w:w="1562"/>
        <w:gridCol w:w="1134"/>
        <w:gridCol w:w="860"/>
        <w:gridCol w:w="987"/>
        <w:gridCol w:w="1090"/>
        <w:gridCol w:w="1057"/>
        <w:gridCol w:w="965"/>
      </w:tblGrid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Задачи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Уход за зелеными насаждениями, обрезка и формирование деревьев и кустарников, уборка мусора и листьев, посадка новых растений.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Срок реализации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2025-2029 гг.</w:t>
            </w:r>
          </w:p>
        </w:tc>
      </w:tr>
      <w:tr>
        <w:trPr/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7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Исполнитель: Отдел жилищно-коммунального хозяйства администрации Лазовского муниципального округа Соисполнители: Отдел архитектуры, градостроительства, земельных и имущественных отношений; Начальники территориальных отделов администрации Лазовского муниципального округа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2025 г.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2026 г.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региональный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1303,883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1303,883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left="-28"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hd w:fill="auto" w:val="clear"/>
              </w:rPr>
              <w:t>1303,883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0,00</w:t>
            </w:r>
          </w:p>
        </w:tc>
      </w:tr>
      <w:tr>
        <w:trPr/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Показатели структурного элемента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показателя, 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Базовое значение показателя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2025 г.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2026 г.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2027 г.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2028 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2029 г.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Кв.м.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120 000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Ед.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20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Ед.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</w:tbl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firstLine="720"/>
        <w:jc w:val="right"/>
        <w:outlineLvl w:val="1"/>
        <w:rPr/>
      </w:pPr>
      <w:r>
        <w:rPr>
          <w:rFonts w:cs="Times New Roman" w:ascii="Times New Roman" w:hAnsi="Times New Roman"/>
        </w:rPr>
        <w:t>Приложение 8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План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реализации комплекса процессных мероприятий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</w:rPr>
        <w:t>на очередной финансовый год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jc w:val="center"/>
        <w:rPr/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6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42"/>
        <w:gridCol w:w="1708"/>
        <w:gridCol w:w="1457"/>
        <w:gridCol w:w="1950"/>
      </w:tblGrid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направления, мероприятия/контрольная точка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 наступления контрольной точки (дата, месяц)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 документа, подтверждающий факт достижения контрольного события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1 «Создание комфортных и безопасных общественных пространств, улучшение освещения и озеленение территорий»</w:t>
            </w:r>
          </w:p>
        </w:tc>
      </w:tr>
      <w:tr>
        <w:trPr/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8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процессных мероприятий (структурный элемент) «Благоустройство общественных территорий Лазовского муниципального округа»</w:t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1.1.2.</w:t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/>
            </w:pPr>
            <w:r>
              <w:rPr>
                <w:rFonts w:cs="Times New Roman" w:ascii="Times New Roman" w:hAnsi="Times New Roman"/>
              </w:rPr>
              <w:t>Мероприятие (результат) 1 «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ремонт, ремонт децентрализованных водозаборных сооружений»</w:t>
            </w:r>
          </w:p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rPr/>
            </w:pPr>
            <w:r>
              <w:rPr>
                <w:rFonts w:cs="Times New Roman" w:ascii="Times New Roman" w:hAnsi="Times New Roman"/>
              </w:rPr>
              <w:t xml:space="preserve">Наименование контрольной точки: </w:t>
            </w: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 колодцев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Занесение в план — график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05.05.2025г.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Электронный план - график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Заключение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закупок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19.06.2025г.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Подписание контракта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Исполнение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01.09.2025г.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акт о приемке выполненных работ и справку о стоимости выполненных работ и затрат унифицированные формы КС-2 и КС-3 (утвержденные Постановлением Госкомстата РФ №100 от 11.11.1999 г.)</w:t>
            </w:r>
          </w:p>
        </w:tc>
      </w:tr>
      <w:tr>
        <w:trPr/>
        <w:tc>
          <w:tcPr>
            <w:tcW w:w="60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Оплата исполненного контракта</w:t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учета и отчетности</w:t>
            </w:r>
          </w:p>
        </w:tc>
        <w:tc>
          <w:tcPr>
            <w:tcW w:w="1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08.10.2025г.</w:t>
            </w:r>
          </w:p>
        </w:tc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Счет на оплату</w:t>
            </w:r>
          </w:p>
        </w:tc>
      </w:tr>
    </w:tbl>
    <w:p>
      <w:pPr>
        <w:sect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itlePg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>
          <w:rFonts w:cs="Times New Roman" w:ascii="Times New Roman" w:hAnsi="Times New Roman"/>
        </w:rPr>
        <w:t>Приложение 9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hanging="0"/>
        <w:jc w:val="center"/>
        <w:rPr/>
      </w:pPr>
      <w:bookmarkStart w:id="4" w:name="P1475"/>
      <w:bookmarkEnd w:id="4"/>
      <w:r>
        <w:rPr>
          <w:rFonts w:cs="Times New Roman" w:ascii="Times New Roman" w:hAnsi="Times New Roman"/>
          <w:sz w:val="22"/>
          <w:szCs w:val="22"/>
        </w:rPr>
        <w:t>МЕТОДИКА РАСЧЕТА ПОКАЗАТЕЛЕЙ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  <w:sz w:val="22"/>
          <w:szCs w:val="22"/>
          <w:u w:val="single"/>
        </w:rPr>
        <w:t>«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</w:rPr>
        <w:t>Благоустройство</w:t>
      </w:r>
      <w:r>
        <w:rPr>
          <w:rFonts w:cs="Times New Roman" w:ascii="Times New Roman" w:hAnsi="Times New Roman"/>
          <w:sz w:val="22"/>
          <w:szCs w:val="22"/>
          <w:u w:val="single"/>
        </w:rPr>
        <w:t xml:space="preserve"> Лазовского муниципального округа» на 2025-2029 гг.</w:t>
      </w:r>
    </w:p>
    <w:p>
      <w:pPr>
        <w:pStyle w:val="ConsPlusNormal"/>
        <w:ind w:hanging="0"/>
        <w:jc w:val="center"/>
        <w:rPr/>
      </w:pPr>
      <w:r>
        <w:rPr>
          <w:rFonts w:cs="Times New Roman" w:ascii="Times New Roman" w:hAnsi="Times New Roman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442"/>
        <w:gridCol w:w="1191"/>
        <w:gridCol w:w="1304"/>
        <w:gridCol w:w="1420"/>
        <w:gridCol w:w="2158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показателя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измерения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расчета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Источник данных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 представления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/>
            </w:pPr>
            <w:r>
              <w:rPr>
                <w:rFonts w:cs="Times New Roman" w:ascii="Times New Roman" w:hAnsi="Times New Roman"/>
                <w:color w:val="000000"/>
              </w:rPr>
              <w:t>К</w:t>
            </w:r>
            <w:r>
              <w:rPr>
                <w:rFonts w:cs="Times New Roman" w:ascii="Times New Roman" w:hAnsi="Times New Roman"/>
              </w:rPr>
              <w:t>апитальный ремонт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1385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Ремонт и содержание колодцев на территории Лазовского муниципального округа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с. Лазо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Содержание парка пгт. Преображение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Ремонта и содержания подвесных мостов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 округа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кладбищ, обследованных в рамках инвентаризации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площадок детских и спортивных площадок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>
          <w:trHeight w:val="574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фонарей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Окоска  территорий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Кв.м.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Обрезка ветвей и деревьев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цветов для посадки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Праздничные мероприятия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Ливневые канализации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архитектуры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  <w:tr>
        <w:trPr/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Обустройство территории перед Домом культуры (парковая зона).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Фактический показатель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ЖКХ</w:t>
            </w:r>
          </w:p>
        </w:tc>
        <w:tc>
          <w:tcPr>
            <w:tcW w:w="2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Ежеквартально</w:t>
            </w:r>
          </w:p>
        </w:tc>
      </w:tr>
    </w:tbl>
    <w:p>
      <w:pPr>
        <w:sectPr>
          <w:type w:val="nextPage"/>
          <w:pgSz w:w="11906" w:h="16838"/>
          <w:pgMar w:left="1134" w:right="1134" w:gutter="0" w:header="0" w:top="851" w:footer="0" w:bottom="850"/>
          <w:pgNumType w:fmt="decimal"/>
          <w:formProt w:val="false"/>
          <w:textDirection w:val="lrTb"/>
          <w:docGrid w:type="default" w:linePitch="100" w:charSpace="32768"/>
        </w:sectPr>
      </w:pP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1"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1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hyphenationZone w:val="357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-style-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cc2e9d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cc2e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cc2e9d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080c65"/>
    <w:pPr>
      <w:spacing w:beforeAutospacing="1" w:afterAutospacing="1"/>
    </w:pPr>
    <w:rPr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rsid w:val="00cc2e9d"/>
    <w:pPr/>
    <w:rPr/>
  </w:style>
  <w:style w:type="paragraph" w:styleId="Style24" w:customStyle="1">
    <w:name w:val="Колонтитул"/>
    <w:basedOn w:val="Normal"/>
    <w:qFormat/>
    <w:rsid w:val="00626ac4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eastAsia="Times New Roman" w:cs="Tahoma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cc2e9d"/>
    <w:pPr/>
    <w:rPr/>
  </w:style>
  <w:style w:type="paragraph" w:styleId="Formattexttopleveltext" w:customStyle="1">
    <w:name w:val="formattext topleveltext"/>
    <w:basedOn w:val="Normal"/>
    <w:qFormat/>
    <w:rsid w:val="00cc2e9d"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</TotalTime>
  <Application>LibreOffice/7.5.5.2$Windows_X86_64 LibreOffice_project/ca8fe7424262805f223b9a2334bc7181abbcbf5e</Application>
  <AppVersion>15.0000</AppVersion>
  <Pages>26</Pages>
  <Words>3789</Words>
  <Characters>25667</Characters>
  <CharactersWithSpaces>28108</CharactersWithSpaces>
  <Paragraphs>1503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2025-08-25T12:11:12Z</cp:lastPrinted>
  <dcterms:modified xsi:type="dcterms:W3CDTF">2025-08-28T08:48:52Z</dcterms:modified>
  <cp:revision>189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